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B11" w:rsidRPr="00E42755" w:rsidRDefault="00707B11" w:rsidP="00707B11">
      <w:pPr>
        <w:widowControl w:val="0"/>
        <w:spacing w:before="100" w:beforeAutospacing="1" w:after="100" w:afterAutospacing="1" w:line="360" w:lineRule="auto"/>
        <w:ind w:right="-164"/>
        <w:jc w:val="both"/>
        <w:rPr>
          <w:rFonts w:ascii="Palatino Linotype" w:eastAsia="Calibri" w:hAnsi="Palatino Linotype" w:cs="Arial"/>
          <w:b/>
          <w:color w:val="000000"/>
        </w:rPr>
      </w:pPr>
      <w:r>
        <w:rPr>
          <w:rFonts w:ascii="Palatino Linotype" w:hAnsi="Palatino Linotype" w:cs="Arial"/>
          <w:b/>
        </w:rPr>
        <w:t>OPINIÓN</w:t>
      </w:r>
      <w:r w:rsidRPr="0007653D">
        <w:rPr>
          <w:rFonts w:ascii="Palatino Linotype" w:hAnsi="Palatino Linotype" w:cs="Arial"/>
          <w:b/>
        </w:rPr>
        <w:t xml:space="preserve">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TRIGÉSIMA OCTAVA </w:t>
      </w:r>
      <w:r w:rsidRPr="0007653D">
        <w:rPr>
          <w:rFonts w:ascii="Palatino Linotype" w:hAnsi="Palatino Linotype" w:cs="Arial"/>
          <w:b/>
        </w:rPr>
        <w:t xml:space="preserve">SESIÓN ORDINARIA DE </w:t>
      </w:r>
      <w:r>
        <w:rPr>
          <w:rFonts w:ascii="Palatino Linotype" w:hAnsi="Palatino Linotype" w:cs="Arial"/>
          <w:b/>
        </w:rPr>
        <w:t>DIECISIETE DE OCTUBRE DE DOS MIL DIECIOCHO</w:t>
      </w:r>
      <w:r w:rsidRPr="0007653D">
        <w:rPr>
          <w:rFonts w:ascii="Palatino Linotype" w:hAnsi="Palatino Linotype" w:cs="Arial"/>
          <w:b/>
        </w:rPr>
        <w:t>, EN EL RECURSO DE REVISIÓN 0</w:t>
      </w:r>
      <w:r>
        <w:rPr>
          <w:rFonts w:ascii="Palatino Linotype" w:hAnsi="Palatino Linotype" w:cs="Arial"/>
          <w:b/>
        </w:rPr>
        <w:t>3406/INFOEM/IP/RR/2018</w:t>
      </w:r>
      <w:r w:rsidRPr="00E42755">
        <w:rPr>
          <w:rFonts w:ascii="Palatino Linotype" w:eastAsia="Calibri" w:hAnsi="Palatino Linotype" w:cs="Arial"/>
          <w:b/>
          <w:color w:val="000000"/>
        </w:rPr>
        <w:t>.</w:t>
      </w:r>
    </w:p>
    <w:p w:rsidR="00707B11" w:rsidRPr="00E42755" w:rsidRDefault="00707B11" w:rsidP="00707B11">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Pr>
          <w:rFonts w:ascii="Palatino Linotype" w:hAnsi="Palatino Linotype" w:cs="Arial"/>
          <w:b/>
        </w:rPr>
        <w:t>OPINIÓN</w:t>
      </w:r>
      <w:r w:rsidRPr="00E42755">
        <w:rPr>
          <w:rFonts w:ascii="Palatino Linotype" w:hAnsi="Palatino Linotype" w:cs="Arial"/>
          <w:b/>
        </w:rPr>
        <w:t xml:space="preserve">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Pr>
          <w:rFonts w:ascii="Palatino Linotype" w:eastAsia="Calibri" w:hAnsi="Palatino Linotype" w:cs="Arial"/>
          <w:b/>
          <w:color w:val="000000"/>
        </w:rPr>
        <w:t>3406/</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el</w:t>
      </w:r>
      <w:r w:rsidRPr="00E42755">
        <w:rPr>
          <w:rFonts w:ascii="Palatino Linotype" w:hAnsi="Palatino Linotype" w:cs="Arial"/>
        </w:rPr>
        <w:t xml:space="preserve"> Comisionad</w:t>
      </w:r>
      <w:r>
        <w:rPr>
          <w:rFonts w:ascii="Palatino Linotype" w:hAnsi="Palatino Linotype" w:cs="Arial"/>
        </w:rPr>
        <w:t xml:space="preserve">o </w:t>
      </w:r>
      <w:r>
        <w:rPr>
          <w:rFonts w:ascii="Palatino Linotype" w:hAnsi="Palatino Linotype" w:cs="Arial"/>
          <w:b/>
        </w:rPr>
        <w:t>LUIS GUSTAVO PARRA NORIEGA</w:t>
      </w:r>
      <w:r w:rsidRPr="0007653D">
        <w:rPr>
          <w:rFonts w:ascii="Palatino Linotype" w:hAnsi="Palatino Linotype" w:cs="Arial"/>
        </w:rPr>
        <w:t xml:space="preserve">, </w:t>
      </w:r>
      <w:r>
        <w:rPr>
          <w:rFonts w:ascii="Palatino Linotype" w:hAnsi="Palatino Linotype" w:cs="Arial"/>
        </w:rPr>
        <w:t>que es del tenor siguiente.</w:t>
      </w:r>
    </w:p>
    <w:p w:rsidR="00707B11" w:rsidRDefault="00707B11" w:rsidP="00707B11">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el sentido de la resolución del </w:t>
      </w:r>
      <w:r w:rsidRPr="00D93A88">
        <w:rPr>
          <w:rFonts w:ascii="Palatino Linotype" w:hAnsi="Palatino Linotype"/>
        </w:rPr>
        <w:t>recurso de revis</w:t>
      </w:r>
      <w:r>
        <w:rPr>
          <w:rFonts w:ascii="Palatino Linotype" w:hAnsi="Palatino Linotype"/>
        </w:rPr>
        <w:t>ión; empero,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la información de la que se ordena la entrega.</w:t>
      </w:r>
    </w:p>
    <w:p w:rsidR="00707B11" w:rsidRDefault="00707B11" w:rsidP="00707B11">
      <w:pPr>
        <w:spacing w:before="100" w:beforeAutospacing="1" w:after="100" w:afterAutospacing="1"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al y como quedó debidamente asentado en la resoluci</w:t>
      </w:r>
      <w:r>
        <w:rPr>
          <w:rFonts w:ascii="Palatino Linotype" w:hAnsi="Palatino Linotype"/>
        </w:rPr>
        <w:t>ón materia de la presente opinión, el</w:t>
      </w:r>
      <w:r w:rsidRPr="00D93A88">
        <w:rPr>
          <w:rFonts w:ascii="Palatino Linotype" w:hAnsi="Palatino Linotype"/>
        </w:rPr>
        <w:t xml:space="preserve"> particular </w:t>
      </w:r>
      <w:r>
        <w:rPr>
          <w:rFonts w:ascii="Palatino Linotype" w:hAnsi="Palatino Linotype"/>
        </w:rPr>
        <w:t xml:space="preserve">requirió de la </w:t>
      </w:r>
      <w:r w:rsidRPr="00C01C99">
        <w:rPr>
          <w:rFonts w:ascii="Palatino Linotype" w:hAnsi="Palatino Linotype"/>
          <w:b/>
        </w:rPr>
        <w:t>Secretaría de Desarrollo Agropecuario</w:t>
      </w:r>
      <w:r>
        <w:rPr>
          <w:rFonts w:ascii="Palatino Linotype" w:hAnsi="Palatino Linotype"/>
        </w:rPr>
        <w:t xml:space="preserve">, </w:t>
      </w:r>
      <w:r>
        <w:rPr>
          <w:rFonts w:ascii="Palatino Linotype" w:hAnsi="Palatino Linotype" w:cs="Arial"/>
        </w:rPr>
        <w:t xml:space="preserve">en lo sucesivo </w:t>
      </w:r>
      <w:r>
        <w:rPr>
          <w:rFonts w:ascii="Palatino Linotype" w:hAnsi="Palatino Linotype"/>
          <w:b/>
        </w:rPr>
        <w:t>EL S</w:t>
      </w:r>
      <w:r w:rsidRPr="008C0700">
        <w:rPr>
          <w:rFonts w:ascii="Palatino Linotype" w:hAnsi="Palatino Linotype"/>
          <w:b/>
        </w:rPr>
        <w:t>UJETO OBLIGADO</w:t>
      </w:r>
      <w:r>
        <w:rPr>
          <w:rFonts w:ascii="Palatino Linotype" w:hAnsi="Palatino Linotype"/>
          <w:b/>
        </w:rPr>
        <w:t>,</w:t>
      </w:r>
      <w:r>
        <w:rPr>
          <w:rFonts w:ascii="Palatino Linotype" w:hAnsi="Palatino Linotype"/>
        </w:rPr>
        <w:t xml:space="preserve"> el padrón de proveedores 2017 y 2018, así como las erogaciones, indicando concepto, monto y el proveedor.</w:t>
      </w:r>
    </w:p>
    <w:p w:rsidR="00707B11" w:rsidRDefault="00707B11" w:rsidP="00707B11">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en respuesta manifestó que de conformidad con los artículo</w:t>
      </w:r>
      <w:r w:rsidR="0035651A">
        <w:rPr>
          <w:rFonts w:ascii="Palatino Linotype" w:hAnsi="Palatino Linotype" w:cs="Arial"/>
        </w:rPr>
        <w:t>s</w:t>
      </w:r>
      <w:r>
        <w:rPr>
          <w:rFonts w:ascii="Palatino Linotype" w:hAnsi="Palatino Linotype" w:cs="Arial"/>
        </w:rPr>
        <w:t xml:space="preserve"> 5, 20 y 21 de la Ley de Contratación Pública del Estado de México y Municipios, la Secretaría de Finanzas de la Entidad, es la responsable de integrar, operar y actualizar el catálogo de proveedores para la adquisición de bienes y servicios.</w:t>
      </w:r>
    </w:p>
    <w:p w:rsidR="00707B11" w:rsidRPr="00447785" w:rsidRDefault="00707B11" w:rsidP="00707B11">
      <w:pPr>
        <w:spacing w:before="100" w:beforeAutospacing="1" w:after="100" w:afterAutospacing="1" w:line="360" w:lineRule="auto"/>
        <w:jc w:val="both"/>
        <w:rPr>
          <w:rFonts w:ascii="Palatino Linotype" w:hAnsi="Palatino Linotype" w:cs="Arial"/>
          <w:sz w:val="22"/>
          <w:szCs w:val="22"/>
        </w:rPr>
      </w:pPr>
      <w:r>
        <w:rPr>
          <w:rFonts w:ascii="Palatino Linotype" w:hAnsi="Palatino Linotype"/>
          <w:color w:val="000000"/>
          <w:lang w:val="es-MX" w:eastAsia="es-MX"/>
        </w:rPr>
        <w:t xml:space="preserve">Inconforme con la respuesta, </w:t>
      </w:r>
      <w:r>
        <w:rPr>
          <w:rFonts w:ascii="Palatino Linotype" w:hAnsi="Palatino Linotype"/>
          <w:b/>
          <w:color w:val="000000"/>
          <w:lang w:val="es-MX" w:eastAsia="es-MX"/>
        </w:rPr>
        <w:t>EL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 xml:space="preserve">interpuso el recurso de revisión de mérito. </w:t>
      </w:r>
    </w:p>
    <w:p w:rsidR="00707B11" w:rsidRDefault="00707B11" w:rsidP="00707B11">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Resolutora determinó </w:t>
      </w:r>
      <w:r>
        <w:rPr>
          <w:rFonts w:ascii="Palatino Linotype" w:hAnsi="Palatino Linotype" w:cs="Arial"/>
          <w:b/>
        </w:rPr>
        <w:t xml:space="preserve">REVOCAR </w:t>
      </w:r>
      <w:r>
        <w:rPr>
          <w:rFonts w:ascii="Palatino Linotype" w:hAnsi="Palatino Linotype" w:cs="Arial"/>
        </w:rPr>
        <w:t xml:space="preserve">la respuesta del </w:t>
      </w:r>
      <w:r>
        <w:rPr>
          <w:rFonts w:ascii="Palatino Linotype" w:hAnsi="Palatino Linotype" w:cs="Arial"/>
          <w:b/>
        </w:rPr>
        <w:t xml:space="preserve">SUJETO OBLIGADO </w:t>
      </w:r>
      <w:r>
        <w:rPr>
          <w:rFonts w:ascii="Palatino Linotype" w:hAnsi="Palatino Linotype" w:cs="Arial"/>
        </w:rPr>
        <w:t>y ordenar la entrega vía SAIMEX de lo siguiente:</w:t>
      </w:r>
    </w:p>
    <w:p w:rsidR="00707B11" w:rsidRPr="00C01C99" w:rsidRDefault="00707B11" w:rsidP="00707B11">
      <w:pPr>
        <w:pStyle w:val="Prrafodelista"/>
        <w:numPr>
          <w:ilvl w:val="0"/>
          <w:numId w:val="1"/>
        </w:numPr>
        <w:ind w:left="1276" w:right="902"/>
        <w:rPr>
          <w:rFonts w:ascii="Palatino Linotype" w:hAnsi="Palatino Linotype" w:cs="Arial"/>
          <w:i/>
          <w:sz w:val="22"/>
          <w:szCs w:val="22"/>
        </w:rPr>
      </w:pPr>
      <w:r w:rsidRPr="00C01C99">
        <w:rPr>
          <w:rFonts w:ascii="Palatino Linotype" w:hAnsi="Palatino Linotype" w:cs="Arial"/>
          <w:i/>
          <w:sz w:val="22"/>
          <w:szCs w:val="22"/>
        </w:rPr>
        <w:t>El Padrón de Proveedores del año dos mil diecisiete y, en su caso se pronuncie si sólo cuenta con el Padrón de Proveedores del año dos mil dieciocho, que publica la Secretaría de Finanzas, en caso contrario entregar el Padrón de Proveedores de este año con el que cuente.</w:t>
      </w:r>
    </w:p>
    <w:p w:rsidR="00707B11" w:rsidRPr="00C01C99" w:rsidRDefault="00707B11" w:rsidP="00707B11">
      <w:pPr>
        <w:pStyle w:val="Prrafodelista"/>
        <w:ind w:left="1276" w:right="902"/>
        <w:rPr>
          <w:rFonts w:ascii="Palatino Linotype" w:hAnsi="Palatino Linotype" w:cs="Arial"/>
          <w:i/>
          <w:sz w:val="22"/>
          <w:szCs w:val="22"/>
        </w:rPr>
      </w:pPr>
    </w:p>
    <w:p w:rsidR="00707B11" w:rsidRPr="00C01C99" w:rsidRDefault="00707B11" w:rsidP="00707B11">
      <w:pPr>
        <w:pStyle w:val="Prrafodelista"/>
        <w:numPr>
          <w:ilvl w:val="0"/>
          <w:numId w:val="1"/>
        </w:numPr>
        <w:ind w:left="1276" w:right="902"/>
        <w:rPr>
          <w:rFonts w:ascii="Palatino Linotype" w:hAnsi="Palatino Linotype" w:cs="Arial"/>
          <w:i/>
          <w:sz w:val="22"/>
          <w:szCs w:val="22"/>
        </w:rPr>
      </w:pPr>
      <w:r w:rsidRPr="00C01C99">
        <w:rPr>
          <w:rFonts w:ascii="Palatino Linotype" w:hAnsi="Palatino Linotype" w:cs="Arial"/>
          <w:i/>
          <w:sz w:val="22"/>
          <w:szCs w:val="22"/>
        </w:rPr>
        <w:t>Las erogaciones realizadas por la Secretaría de Desarrollo Agropecuario, en donde se indique el tipo de adjudicación (adjudicación directa, concurso o licitación o invitación restringida), dentro de los años dos mil diecisiete y dos mil dieciocho; así como concepto, precio unitario, total y nombre del proveedor.</w:t>
      </w:r>
    </w:p>
    <w:p w:rsidR="00707B11" w:rsidRPr="00C01C99" w:rsidRDefault="00707B11" w:rsidP="00707B11">
      <w:pPr>
        <w:spacing w:before="100" w:beforeAutospacing="1" w:after="100" w:afterAutospacing="1" w:line="360" w:lineRule="auto"/>
        <w:jc w:val="both"/>
        <w:rPr>
          <w:rFonts w:ascii="Palatino Linotype" w:hAnsi="Palatino Linotype" w:cs="Arial"/>
          <w:lang w:val="es-MX"/>
        </w:rPr>
      </w:pPr>
      <w:r w:rsidRPr="004F3DBF">
        <w:rPr>
          <w:rFonts w:ascii="Palatino Linotype" w:hAnsi="Palatino Linotype" w:cs="Arial"/>
          <w:lang w:val="es-MX"/>
        </w:rPr>
        <w:t xml:space="preserve">En ese sentido, la que suscribe reitera, que si bien coincide en términos generales con el </w:t>
      </w:r>
      <w:r>
        <w:rPr>
          <w:rFonts w:ascii="Palatino Linotype" w:hAnsi="Palatino Linotype" w:cs="Arial"/>
          <w:lang w:val="es-MX"/>
        </w:rPr>
        <w:t xml:space="preserve">sentido de la resolución en comento así como, con la información de la que se ordena la entrega, considero necesario precisar que </w:t>
      </w:r>
      <w:r w:rsidRPr="009F03BA">
        <w:rPr>
          <w:rFonts w:ascii="Palatino Linotype" w:hAnsi="Palatino Linotype" w:cs="Arial"/>
        </w:rPr>
        <w:t>en</w:t>
      </w:r>
      <w:r>
        <w:rPr>
          <w:rFonts w:ascii="Palatino Linotype" w:hAnsi="Palatino Linotype" w:cs="Arial"/>
        </w:rPr>
        <w:t xml:space="preserve"> cumplimiento a los principios que rigen el actuar de este Órgano Garante establecidos en los artícu</w:t>
      </w:r>
      <w:r w:rsidRPr="009C5FF5">
        <w:rPr>
          <w:rFonts w:ascii="Palatino Linotype" w:hAnsi="Palatino Linotype" w:cs="Arial"/>
        </w:rPr>
        <w:t>los</w:t>
      </w:r>
      <w:r>
        <w:rPr>
          <w:rFonts w:ascii="Palatino Linotype" w:hAnsi="Palatino Linotype" w:cs="Arial"/>
        </w:rPr>
        <w:t xml:space="preserve"> 4 y 9, fracciones I, VII y </w:t>
      </w:r>
      <w:r>
        <w:rPr>
          <w:rFonts w:ascii="Palatino Linotype" w:hAnsi="Palatino Linotype" w:cs="Arial"/>
        </w:rPr>
        <w:lastRenderedPageBreak/>
        <w:t xml:space="preserve">VIII </w:t>
      </w:r>
      <w:r w:rsidRPr="009C5FF5">
        <w:rPr>
          <w:rFonts w:ascii="Palatino Linotype" w:hAnsi="Palatino Linotype" w:cs="Arial"/>
        </w:rPr>
        <w:t>de la Ley de Transpar</w:t>
      </w:r>
      <w:r>
        <w:rPr>
          <w:rFonts w:ascii="Palatino Linotype" w:hAnsi="Palatino Linotype" w:cs="Arial"/>
        </w:rPr>
        <w:t>encia y Acceso</w:t>
      </w:r>
      <w:r w:rsidRPr="009C5FF5">
        <w:rPr>
          <w:rFonts w:ascii="Palatino Linotype" w:hAnsi="Palatino Linotype" w:cs="Arial"/>
        </w:rPr>
        <w:t xml:space="preserve"> a la Información Pú</w:t>
      </w:r>
      <w:r>
        <w:rPr>
          <w:rFonts w:ascii="Palatino Linotype" w:hAnsi="Palatino Linotype" w:cs="Arial"/>
        </w:rPr>
        <w:t>b</w:t>
      </w:r>
      <w:r w:rsidRPr="009C5FF5">
        <w:rPr>
          <w:rFonts w:ascii="Palatino Linotype" w:hAnsi="Palatino Linotype" w:cs="Arial"/>
        </w:rPr>
        <w:t>lica del Estado de México y</w:t>
      </w:r>
      <w:r>
        <w:rPr>
          <w:rFonts w:ascii="Palatino Linotype" w:hAnsi="Palatino Linotype" w:cs="Arial"/>
        </w:rPr>
        <w:t xml:space="preserve"> </w:t>
      </w:r>
      <w:r w:rsidRPr="009C5FF5">
        <w:rPr>
          <w:rFonts w:ascii="Palatino Linotype" w:hAnsi="Palatino Linotype" w:cs="Arial"/>
        </w:rPr>
        <w:t xml:space="preserve">Municipios, mediante </w:t>
      </w:r>
      <w:r>
        <w:rPr>
          <w:rFonts w:ascii="Palatino Linotype" w:hAnsi="Palatino Linotype" w:cs="Arial"/>
        </w:rPr>
        <w:t xml:space="preserve">los cuales debe </w:t>
      </w:r>
      <w:r w:rsidRPr="009C5FF5">
        <w:rPr>
          <w:rFonts w:ascii="Palatino Linotype" w:hAnsi="Palatino Linotype" w:cs="Arial"/>
        </w:rPr>
        <w:t xml:space="preserve">privilegiarse </w:t>
      </w:r>
      <w:r>
        <w:rPr>
          <w:rFonts w:ascii="Palatino Linotype" w:hAnsi="Palatino Linotype" w:cs="Arial"/>
        </w:rPr>
        <w:t>la</w:t>
      </w:r>
      <w:r w:rsidRPr="009C5FF5">
        <w:rPr>
          <w:rFonts w:ascii="Palatino Linotype" w:hAnsi="Palatino Linotype" w:cs="Arial"/>
        </w:rPr>
        <w:t xml:space="preserve"> máxima publicidad</w:t>
      </w:r>
      <w:r>
        <w:rPr>
          <w:rFonts w:ascii="Palatino Linotype" w:hAnsi="Palatino Linotype" w:cs="Arial"/>
        </w:rPr>
        <w:t xml:space="preserve"> </w:t>
      </w:r>
      <w:r w:rsidRPr="009C5FF5">
        <w:rPr>
          <w:rFonts w:ascii="Palatino Linotype" w:hAnsi="Palatino Linotype" w:cs="Arial"/>
        </w:rPr>
        <w:t xml:space="preserve">y </w:t>
      </w:r>
      <w:r>
        <w:rPr>
          <w:rFonts w:ascii="Palatino Linotype" w:hAnsi="Palatino Linotype" w:cs="Arial"/>
        </w:rPr>
        <w:t xml:space="preserve">el principio </w:t>
      </w:r>
      <w:proofErr w:type="spellStart"/>
      <w:r w:rsidRPr="009C5FF5">
        <w:rPr>
          <w:rFonts w:ascii="Palatino Linotype" w:hAnsi="Palatino Linotype" w:cs="Arial"/>
        </w:rPr>
        <w:t>pro</w:t>
      </w:r>
      <w:proofErr w:type="spellEnd"/>
      <w:r>
        <w:rPr>
          <w:rFonts w:ascii="Palatino Linotype" w:hAnsi="Palatino Linotype" w:cs="Arial"/>
        </w:rPr>
        <w:t xml:space="preserve"> </w:t>
      </w:r>
      <w:r w:rsidRPr="009C5FF5">
        <w:rPr>
          <w:rFonts w:ascii="Palatino Linotype" w:hAnsi="Palatino Linotype" w:cs="Arial"/>
        </w:rPr>
        <w:t>persona</w:t>
      </w:r>
      <w:r>
        <w:rPr>
          <w:rFonts w:ascii="Palatino Linotype" w:hAnsi="Palatino Linotype" w:cs="Arial"/>
        </w:rPr>
        <w:t>, preceptos que se trascriben a continuación:</w:t>
      </w:r>
    </w:p>
    <w:p w:rsidR="00707B11" w:rsidRPr="00444E6E" w:rsidRDefault="00707B11" w:rsidP="00707B11">
      <w:pPr>
        <w:spacing w:before="100" w:beforeAutospacing="1" w:after="100" w:afterAutospacing="1"/>
        <w:ind w:left="851" w:right="899"/>
        <w:jc w:val="both"/>
        <w:rPr>
          <w:rFonts w:ascii="Palatino Linotype" w:hAnsi="Palatino Linotype" w:cs="Arial"/>
          <w:bCs/>
          <w:i/>
          <w:sz w:val="22"/>
        </w:rPr>
      </w:pPr>
      <w:r>
        <w:rPr>
          <w:rFonts w:ascii="Palatino Linotype" w:hAnsi="Palatino Linotype" w:cs="Arial"/>
          <w:b/>
          <w:bCs/>
          <w:i/>
          <w:sz w:val="22"/>
        </w:rPr>
        <w:t>“</w:t>
      </w:r>
      <w:r w:rsidRPr="00444E6E">
        <w:rPr>
          <w:rFonts w:ascii="Palatino Linotype" w:hAnsi="Palatino Linotype" w:cs="Arial"/>
          <w:b/>
          <w:bCs/>
          <w:i/>
          <w:sz w:val="22"/>
        </w:rPr>
        <w:t>Artículo 4.</w:t>
      </w:r>
      <w:r w:rsidRPr="00444E6E">
        <w:rPr>
          <w:rFonts w:ascii="Palatino Linotype" w:hAnsi="Palatino Linotype" w:cs="Arial"/>
          <w:bCs/>
          <w:i/>
          <w:sz w:val="22"/>
        </w:rPr>
        <w:t xml:space="preserve"> </w:t>
      </w:r>
      <w:r w:rsidRPr="009C5FF5">
        <w:rPr>
          <w:rFonts w:ascii="Palatino Linotype" w:hAnsi="Palatino Linotype" w:cs="Arial"/>
          <w:bCs/>
          <w:i/>
          <w:sz w:val="22"/>
        </w:rPr>
        <w:t>El derecho humano de acceso a la información pública es la prerrogativa de las personas para buscar, difundir, investigar, recabar, recibir y solicitar información pública</w:t>
      </w:r>
      <w:r w:rsidRPr="00444E6E">
        <w:rPr>
          <w:rFonts w:ascii="Palatino Linotype" w:hAnsi="Palatino Linotype" w:cs="Arial"/>
          <w:bCs/>
          <w:i/>
          <w:sz w:val="22"/>
        </w:rPr>
        <w:t xml:space="preserve">, sin necesidad de acreditar personalidad ni interés jurídico. </w:t>
      </w:r>
    </w:p>
    <w:p w:rsidR="00707B11" w:rsidRDefault="00707B11" w:rsidP="00707B11">
      <w:pPr>
        <w:spacing w:before="100" w:beforeAutospacing="1" w:after="100" w:afterAutospacing="1"/>
        <w:ind w:left="851" w:right="899"/>
        <w:jc w:val="both"/>
        <w:rPr>
          <w:rFonts w:ascii="Palatino Linotype" w:hAnsi="Palatino Linotype" w:cs="Arial"/>
          <w:bCs/>
          <w:i/>
          <w:sz w:val="22"/>
        </w:rPr>
      </w:pPr>
      <w:r w:rsidRPr="00933F8A">
        <w:rPr>
          <w:rFonts w:ascii="Palatino Linotype" w:hAnsi="Palatino Linotype" w:cs="Arial"/>
          <w:b/>
          <w:bCs/>
          <w:i/>
          <w:sz w:val="22"/>
        </w:rPr>
        <w:t>Toda la información generada, obtenida, adquirida, transformada, administrada o en posesión de los sujetos obligados es pública y accesible de manera permanente a cualquier persona</w:t>
      </w:r>
      <w:r w:rsidRPr="00933F8A">
        <w:rPr>
          <w:rFonts w:ascii="Palatino Linotype" w:hAnsi="Palatino Linotype" w:cs="Arial"/>
          <w:bCs/>
          <w:i/>
          <w:sz w:val="22"/>
        </w:rPr>
        <w:t xml:space="preserve">, en los términos y condiciones que se establezcan en los tratados internacionales de los que el Estado mexicano sea parte, en la Ley General, la presente Ley y demás disposiciones de la materia, </w:t>
      </w:r>
      <w:r w:rsidRPr="00933F8A">
        <w:rPr>
          <w:rFonts w:ascii="Palatino Linotype" w:hAnsi="Palatino Linotype" w:cs="Arial"/>
          <w:b/>
          <w:bCs/>
          <w:i/>
          <w:sz w:val="22"/>
        </w:rPr>
        <w:t>privilegiando el principio de máxima publicidad</w:t>
      </w:r>
      <w:r w:rsidRPr="00933F8A">
        <w:rPr>
          <w:rFonts w:ascii="Palatino Linotype" w:hAnsi="Palatino Linotype" w:cs="Arial"/>
          <w:bCs/>
          <w:i/>
          <w:sz w:val="22"/>
        </w:rPr>
        <w:t xml:space="preserve"> de la </w:t>
      </w:r>
      <w:r w:rsidRPr="00933F8A">
        <w:rPr>
          <w:rFonts w:ascii="Palatino Linotype" w:hAnsi="Palatino Linotype" w:cs="Arial"/>
          <w:i/>
          <w:color w:val="000000"/>
          <w:sz w:val="22"/>
        </w:rPr>
        <w:t>información</w:t>
      </w:r>
      <w:r w:rsidRPr="00444E6E">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rsidR="00707B11" w:rsidRDefault="00707B11" w:rsidP="00707B11">
      <w:pPr>
        <w:spacing w:before="100" w:beforeAutospacing="1" w:after="100" w:afterAutospacing="1"/>
        <w:ind w:left="851" w:right="899"/>
        <w:jc w:val="both"/>
        <w:rPr>
          <w:rFonts w:ascii="Palatino Linotype" w:hAnsi="Palatino Linotype" w:cs="Arial"/>
          <w:bCs/>
          <w:i/>
          <w:sz w:val="22"/>
        </w:rPr>
      </w:pPr>
      <w:r w:rsidRPr="00444E6E">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707B11" w:rsidRPr="00933F8A" w:rsidRDefault="00707B11" w:rsidP="00707B11">
      <w:pPr>
        <w:spacing w:before="100" w:beforeAutospacing="1" w:after="100" w:afterAutospacing="1"/>
        <w:ind w:left="851" w:right="899"/>
        <w:jc w:val="both"/>
        <w:rPr>
          <w:rFonts w:ascii="Palatino Linotype" w:hAnsi="Palatino Linotype" w:cs="Arial"/>
          <w:b/>
          <w:bCs/>
          <w:i/>
          <w:sz w:val="22"/>
        </w:rPr>
      </w:pPr>
      <w:r w:rsidRPr="00933F8A">
        <w:rPr>
          <w:rFonts w:ascii="Palatino Linotype" w:hAnsi="Palatino Linotype" w:cs="Arial"/>
          <w:b/>
          <w:bCs/>
          <w:i/>
          <w:sz w:val="22"/>
        </w:rPr>
        <w:t>Artículo 9. El Instituto deberá regir su funcionamiento de acuerdo a los siguientes principios:</w:t>
      </w:r>
    </w:p>
    <w:p w:rsidR="00707B11" w:rsidRDefault="00707B11" w:rsidP="00707B11">
      <w:pPr>
        <w:spacing w:before="100" w:beforeAutospacing="1" w:after="100" w:afterAutospacing="1"/>
        <w:ind w:left="851" w:right="899"/>
        <w:jc w:val="both"/>
        <w:rPr>
          <w:rFonts w:ascii="Palatino Linotype" w:hAnsi="Palatino Linotype" w:cs="Arial"/>
          <w:b/>
          <w:bCs/>
          <w:i/>
          <w:sz w:val="22"/>
        </w:rPr>
      </w:pPr>
      <w:r w:rsidRPr="00933F8A">
        <w:rPr>
          <w:rFonts w:ascii="Palatino Linotype" w:hAnsi="Palatino Linotype" w:cs="Arial"/>
          <w:b/>
          <w:bCs/>
          <w:i/>
          <w:sz w:val="22"/>
        </w:rPr>
        <w:t>I. Certeza:</w:t>
      </w:r>
      <w:r w:rsidRPr="00933F8A">
        <w:rPr>
          <w:rFonts w:ascii="Palatino Linotype" w:hAnsi="Palatino Linotype" w:cs="Arial"/>
          <w:bCs/>
          <w:i/>
          <w:sz w:val="22"/>
        </w:rPr>
        <w:t xml:space="preserve"> </w:t>
      </w:r>
      <w:r w:rsidRPr="00933F8A">
        <w:rPr>
          <w:rFonts w:ascii="Palatino Linotype" w:hAnsi="Palatino Linotype" w:cs="Arial"/>
          <w:b/>
          <w:bCs/>
          <w:i/>
          <w:sz w:val="22"/>
        </w:rPr>
        <w:t>Principio que otorga seguridad y certidumbre jurídica a los particulares, en virtud de que permite conocer si las acciones</w:t>
      </w:r>
      <w:r w:rsidRPr="006807DD">
        <w:rPr>
          <w:rFonts w:ascii="Palatino Linotype" w:hAnsi="Palatino Linotype" w:cs="Arial"/>
          <w:b/>
          <w:bCs/>
          <w:i/>
          <w:sz w:val="22"/>
        </w:rPr>
        <w:t xml:space="preserve"> del Instituto son apegadas a derecho y garantiza que los procedimientos sean completamente verificables, fidedignos y confiables; </w:t>
      </w:r>
    </w:p>
    <w:p w:rsidR="00707B11" w:rsidRPr="006807DD" w:rsidRDefault="00707B11" w:rsidP="00707B11">
      <w:pPr>
        <w:spacing w:before="100" w:beforeAutospacing="1" w:after="100" w:afterAutospacing="1"/>
        <w:ind w:left="851" w:right="899"/>
        <w:jc w:val="both"/>
        <w:rPr>
          <w:rFonts w:ascii="Palatino Linotype" w:hAnsi="Palatino Linotype" w:cs="Arial"/>
          <w:b/>
          <w:bCs/>
          <w:i/>
          <w:sz w:val="22"/>
        </w:rPr>
      </w:pPr>
      <w:r>
        <w:rPr>
          <w:rFonts w:ascii="Palatino Linotype" w:hAnsi="Palatino Linotype" w:cs="Arial"/>
          <w:b/>
          <w:bCs/>
          <w:i/>
          <w:sz w:val="22"/>
        </w:rPr>
        <w:t>…</w:t>
      </w:r>
    </w:p>
    <w:p w:rsidR="00707B11" w:rsidRDefault="00707B11" w:rsidP="00707B11">
      <w:pPr>
        <w:spacing w:before="100" w:beforeAutospacing="1" w:after="100" w:afterAutospacing="1"/>
        <w:ind w:left="851" w:right="899"/>
        <w:jc w:val="both"/>
        <w:rPr>
          <w:rFonts w:ascii="Palatino Linotype" w:hAnsi="Palatino Linotype" w:cs="Arial"/>
          <w:b/>
          <w:bCs/>
          <w:i/>
          <w:sz w:val="22"/>
        </w:rPr>
      </w:pPr>
      <w:r w:rsidRPr="006807DD">
        <w:rPr>
          <w:rFonts w:ascii="Palatino Linotype" w:hAnsi="Palatino Linotype" w:cs="Arial"/>
          <w:b/>
          <w:bCs/>
          <w:i/>
          <w:sz w:val="22"/>
        </w:rPr>
        <w:t xml:space="preserve">VII. Máxima Publicidad: Toda la información en posesión de los sujetos obligados será pública, completa, oportuna y accesible, sujeta a un claro régimen de excepciones que deberán estar definidas y ser además legítimas y estrictamente necesarias en una sociedad democrática; </w:t>
      </w:r>
    </w:p>
    <w:p w:rsidR="00707B11" w:rsidRPr="006807DD" w:rsidRDefault="00707B11" w:rsidP="00707B11">
      <w:pPr>
        <w:spacing w:before="100" w:beforeAutospacing="1" w:after="100" w:afterAutospacing="1"/>
        <w:ind w:left="851" w:right="899"/>
        <w:jc w:val="both"/>
        <w:rPr>
          <w:rFonts w:ascii="Palatino Linotype" w:hAnsi="Palatino Linotype" w:cs="Arial"/>
          <w:b/>
          <w:bCs/>
          <w:i/>
          <w:sz w:val="22"/>
        </w:rPr>
      </w:pPr>
      <w:r w:rsidRPr="006807DD">
        <w:rPr>
          <w:rFonts w:ascii="Palatino Linotype" w:hAnsi="Palatino Linotype" w:cs="Arial"/>
          <w:b/>
          <w:bCs/>
          <w:i/>
          <w:sz w:val="22"/>
        </w:rPr>
        <w:lastRenderedPageBreak/>
        <w:t xml:space="preserve">VIII. Objetividad: Obligación del Instituto de ajustar su actuación a los presupuestos de ley que deben ser aplicados al analizar el caso en concreto y resolver todos los hechos, prescindiendo de las consideraciones y criterios personales; </w:t>
      </w:r>
    </w:p>
    <w:p w:rsidR="00707B11" w:rsidRPr="00444E6E" w:rsidRDefault="00707B11" w:rsidP="00707B11">
      <w:pPr>
        <w:spacing w:before="100" w:beforeAutospacing="1" w:after="100" w:afterAutospacing="1"/>
        <w:ind w:left="851" w:right="899"/>
        <w:jc w:val="both"/>
        <w:rPr>
          <w:rFonts w:ascii="Palatino Linotype" w:hAnsi="Palatino Linotype" w:cs="Arial"/>
          <w:bCs/>
          <w:i/>
          <w:sz w:val="22"/>
        </w:rPr>
      </w:pPr>
      <w:r>
        <w:rPr>
          <w:rFonts w:ascii="Palatino Linotype" w:hAnsi="Palatino Linotype" w:cs="Arial"/>
          <w:bCs/>
          <w:i/>
          <w:sz w:val="22"/>
        </w:rPr>
        <w:t>…</w:t>
      </w:r>
    </w:p>
    <w:p w:rsidR="00707B11" w:rsidRPr="00444E6E" w:rsidRDefault="00707B11" w:rsidP="00707B11">
      <w:pPr>
        <w:spacing w:before="100" w:beforeAutospacing="1" w:after="100" w:afterAutospacing="1"/>
        <w:ind w:left="851" w:right="899"/>
        <w:jc w:val="both"/>
        <w:rPr>
          <w:rFonts w:ascii="Palatino Linotype" w:hAnsi="Palatino Linotype" w:cs="Arial"/>
          <w:bCs/>
          <w:i/>
          <w:sz w:val="22"/>
        </w:rPr>
      </w:pPr>
      <w:r>
        <w:rPr>
          <w:rFonts w:ascii="Palatino Linotype" w:hAnsi="Palatino Linotype" w:cs="Arial"/>
          <w:bCs/>
          <w:i/>
          <w:sz w:val="22"/>
        </w:rPr>
        <w:t>(Énfasis añadido)</w:t>
      </w:r>
    </w:p>
    <w:p w:rsidR="00707B11" w:rsidRDefault="00707B11" w:rsidP="00707B11">
      <w:pPr>
        <w:spacing w:before="100" w:beforeAutospacing="1" w:after="100" w:afterAutospacing="1" w:line="360" w:lineRule="auto"/>
        <w:jc w:val="both"/>
        <w:rPr>
          <w:rFonts w:ascii="Palatino Linotype" w:hAnsi="Palatino Linotype" w:cs="Arial"/>
          <w:lang w:val="es-MX"/>
        </w:rPr>
      </w:pPr>
      <w:r>
        <w:rPr>
          <w:rFonts w:ascii="Palatino Linotype" w:hAnsi="Palatino Linotype"/>
        </w:rPr>
        <w:t xml:space="preserve">A fin de robustecer lo expuesto, conviene citar </w:t>
      </w:r>
      <w:r>
        <w:rPr>
          <w:rFonts w:ascii="Palatino Linotype" w:hAnsi="Palatino Linotype" w:cs="Segoe UI"/>
        </w:rPr>
        <w:t xml:space="preserve">el criterio orientador </w:t>
      </w:r>
      <w:r>
        <w:rPr>
          <w:rFonts w:ascii="Palatino Linotype" w:hAnsi="Palatino Linotype"/>
          <w:lang w:eastAsia="es-MX"/>
        </w:rPr>
        <w:t xml:space="preserve">002/2017 del Instituto Nacional de Acceso a la Información y Protección de Datos (INAI), </w:t>
      </w:r>
      <w:r>
        <w:rPr>
          <w:rFonts w:ascii="Palatino Linotype" w:hAnsi="Palatino Linotype" w:cs="Arial"/>
        </w:rPr>
        <w:t>cuyo tenor es el siguiente:</w:t>
      </w:r>
    </w:p>
    <w:p w:rsidR="00707B11" w:rsidRPr="00D621C2" w:rsidRDefault="00707B11" w:rsidP="00707B11">
      <w:pPr>
        <w:spacing w:before="100" w:beforeAutospacing="1" w:after="100" w:afterAutospacing="1"/>
        <w:ind w:left="851" w:right="899"/>
        <w:jc w:val="both"/>
        <w:rPr>
          <w:rFonts w:ascii="Palatino Linotype" w:hAnsi="Palatino Linotype" w:cs="Arial"/>
          <w:b/>
          <w:bCs/>
          <w:i/>
          <w:sz w:val="22"/>
        </w:rPr>
      </w:pPr>
      <w:r w:rsidRPr="006807DD">
        <w:rPr>
          <w:rFonts w:ascii="Palatino Linotype" w:hAnsi="Palatino Linotype" w:cs="Arial"/>
          <w:b/>
          <w:bCs/>
          <w:i/>
          <w:sz w:val="22"/>
        </w:rPr>
        <w:t>“Congruencia y exhaustividad.</w:t>
      </w:r>
      <w:r w:rsidRPr="006807D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sz w:val="22"/>
        </w:rPr>
        <w:t>la congruencia implica que exista concordancia entre el requerimiento formulado por el particular y la respuesta proporcionada por el sujeto obligado;</w:t>
      </w:r>
      <w:r w:rsidRPr="006807DD">
        <w:rPr>
          <w:rFonts w:ascii="Palatino Linotype" w:hAnsi="Palatino Linotype" w:cs="Arial"/>
          <w:bCs/>
          <w:i/>
          <w:sz w:val="22"/>
        </w:rPr>
        <w:t xml:space="preserve"> mientras que </w:t>
      </w:r>
      <w:r w:rsidRPr="00D621C2">
        <w:rPr>
          <w:rFonts w:ascii="Palatino Linotype" w:hAnsi="Palatino Linotype" w:cs="Arial"/>
          <w:b/>
          <w:bCs/>
          <w:i/>
          <w:sz w:val="22"/>
        </w:rPr>
        <w:t xml:space="preserve">la exhaustividad significa que dicha respuesta se refiera expresamente a cada uno de los puntos solicitados. </w:t>
      </w:r>
      <w:r w:rsidRPr="006807DD">
        <w:rPr>
          <w:rFonts w:ascii="Palatino Linotype" w:hAnsi="Palatino Linotype" w:cs="Arial"/>
          <w:bCs/>
          <w:i/>
          <w:sz w:val="22"/>
        </w:rPr>
        <w:t xml:space="preserve">Por lo anterior, los sujetos obligados cumplirán con los principios de congruencia y exhaustividad, </w:t>
      </w:r>
      <w:r w:rsidRPr="00D621C2">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707B11" w:rsidRPr="00C01C99" w:rsidRDefault="00707B11" w:rsidP="00707B11">
      <w:pPr>
        <w:spacing w:before="100" w:beforeAutospacing="1" w:after="100" w:afterAutospacing="1"/>
        <w:ind w:left="851" w:right="899"/>
        <w:jc w:val="both"/>
        <w:rPr>
          <w:rFonts w:ascii="Palatino Linotype" w:hAnsi="Palatino Linotype" w:cs="Arial"/>
          <w:b/>
          <w:bCs/>
          <w:i/>
          <w:sz w:val="22"/>
        </w:rPr>
      </w:pPr>
      <w:r w:rsidRPr="006807DD">
        <w:rPr>
          <w:rFonts w:ascii="Palatino Linotype" w:hAnsi="Palatino Linotype" w:cs="Arial"/>
          <w:bCs/>
          <w:i/>
          <w:sz w:val="22"/>
        </w:rPr>
        <w:t xml:space="preserve">Resoluciones: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0003/16. Comisión Nacional de las Zonas Áridas. 29 de junio de 2016. Por unanimidad. Comisionado Ponente Oscar Mauricio Guerra Ford.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0100/16. Sindicato Nacional de Trabajadores de la Educación. 13 de julio de 2016. Por unanimidad. Comisionada Ponente. Areli Cano Guadiana.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1419/16. Secretaría de Educación Pública. 14 de septiembre de 2016. Por unanimidad. Comisionado Ponente </w:t>
      </w:r>
      <w:proofErr w:type="spellStart"/>
      <w:r w:rsidRPr="006807DD">
        <w:rPr>
          <w:rFonts w:ascii="Palatino Linotype" w:hAnsi="Palatino Linotype" w:cs="Arial"/>
          <w:bCs/>
          <w:i/>
          <w:sz w:val="22"/>
        </w:rPr>
        <w:t>Rosendoevgueni</w:t>
      </w:r>
      <w:proofErr w:type="spellEnd"/>
      <w:r w:rsidRPr="006807DD">
        <w:rPr>
          <w:rFonts w:ascii="Palatino Linotype" w:hAnsi="Palatino Linotype" w:cs="Arial"/>
          <w:bCs/>
          <w:i/>
          <w:sz w:val="22"/>
        </w:rPr>
        <w:t xml:space="preserve"> Monterrey </w:t>
      </w:r>
      <w:proofErr w:type="spellStart"/>
      <w:r w:rsidRPr="006807DD">
        <w:rPr>
          <w:rFonts w:ascii="Palatino Linotype" w:hAnsi="Palatino Linotype" w:cs="Arial"/>
          <w:bCs/>
          <w:i/>
          <w:sz w:val="22"/>
        </w:rPr>
        <w:t>Chepov</w:t>
      </w:r>
      <w:proofErr w:type="spellEnd"/>
      <w:r w:rsidRPr="007D2ED5">
        <w:rPr>
          <w:rFonts w:ascii="Palatino Linotype" w:hAnsi="Palatino Linotype" w:cs="Arial"/>
          <w:b/>
          <w:bCs/>
          <w:i/>
          <w:sz w:val="22"/>
        </w:rPr>
        <w:t>.”</w:t>
      </w:r>
    </w:p>
    <w:p w:rsidR="00707B11" w:rsidRDefault="00707B11" w:rsidP="00707B11">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Así, se comparte el pronunciamiento de la Ponencia Resolutora por cuanto hace a  que aún y cuando la Secretaría de Finanzas de la Entidad es la responsable de generar el padrón de proveedores, cierto es también que, </w:t>
      </w:r>
      <w:r>
        <w:rPr>
          <w:rFonts w:ascii="Palatino Linotype" w:hAnsi="Palatino Linotype" w:cs="Arial"/>
          <w:b/>
        </w:rPr>
        <w:t xml:space="preserve">EL SUJETO OBLIGADO </w:t>
      </w:r>
      <w:r>
        <w:rPr>
          <w:rFonts w:ascii="Palatino Linotype" w:hAnsi="Palatino Linotype" w:cs="Arial"/>
        </w:rPr>
        <w:t xml:space="preserve">no desconoce el mismo pues es un padrón al que todas las dependencias del Ejecutivo dan uso, aunado a que de conformidad con el </w:t>
      </w:r>
      <w:r w:rsidRPr="00B07459">
        <w:rPr>
          <w:rFonts w:ascii="Palatino Linotype" w:hAnsi="Palatino Linotype" w:cs="Arial"/>
        </w:rPr>
        <w:t>Manual General de Organización de la Secretaría de Desarrollo Agropecuario</w:t>
      </w:r>
      <w:r>
        <w:rPr>
          <w:rFonts w:ascii="Palatino Linotype" w:hAnsi="Palatino Linotype" w:cs="Arial"/>
        </w:rPr>
        <w:t>, el Departamento de Adquisiciones tiene entre sus funciones la de actualizar el padrón de proveedores tal como se aprecia a continuación:</w:t>
      </w:r>
    </w:p>
    <w:p w:rsidR="00707B11" w:rsidRDefault="00707B11" w:rsidP="00707B11">
      <w:pPr>
        <w:ind w:left="851" w:right="902"/>
        <w:jc w:val="both"/>
        <w:rPr>
          <w:rFonts w:ascii="Palatino Linotype" w:hAnsi="Palatino Linotype" w:cs="Arial"/>
          <w:b/>
          <w:bCs/>
          <w:i/>
          <w:sz w:val="22"/>
        </w:rPr>
      </w:pPr>
      <w:r w:rsidRPr="002902EC">
        <w:rPr>
          <w:rFonts w:ascii="Palatino Linotype" w:hAnsi="Palatino Linotype" w:cs="Arial"/>
          <w:b/>
          <w:bCs/>
          <w:i/>
          <w:sz w:val="22"/>
        </w:rPr>
        <w:t xml:space="preserve">207032001 DEPARTAMENTO DE ADQUISICIONES </w:t>
      </w:r>
    </w:p>
    <w:p w:rsidR="00707B11" w:rsidRDefault="00707B11" w:rsidP="00707B11">
      <w:pPr>
        <w:ind w:left="851" w:right="902"/>
        <w:jc w:val="both"/>
        <w:rPr>
          <w:rFonts w:ascii="Palatino Linotype" w:hAnsi="Palatino Linotype" w:cs="Arial"/>
          <w:b/>
          <w:bCs/>
          <w:i/>
          <w:sz w:val="22"/>
        </w:rPr>
      </w:pPr>
    </w:p>
    <w:p w:rsidR="00707B11" w:rsidRPr="002902EC" w:rsidRDefault="00707B11" w:rsidP="00707B11">
      <w:pPr>
        <w:ind w:left="851" w:right="902"/>
        <w:jc w:val="both"/>
        <w:rPr>
          <w:rFonts w:ascii="Palatino Linotype" w:hAnsi="Palatino Linotype" w:cs="Arial"/>
          <w:bCs/>
          <w:i/>
          <w:sz w:val="22"/>
        </w:rPr>
      </w:pPr>
      <w:r w:rsidRPr="002902EC">
        <w:rPr>
          <w:rFonts w:ascii="Palatino Linotype" w:hAnsi="Palatino Linotype" w:cs="Arial"/>
          <w:b/>
          <w:bCs/>
          <w:i/>
          <w:sz w:val="22"/>
        </w:rPr>
        <w:t xml:space="preserve">OBJETIVO: </w:t>
      </w:r>
      <w:r w:rsidRPr="002902EC">
        <w:rPr>
          <w:rFonts w:ascii="Palatino Linotype" w:hAnsi="Palatino Linotype" w:cs="Arial"/>
          <w:bCs/>
          <w:i/>
          <w:sz w:val="22"/>
        </w:rPr>
        <w:t>Programar y controlar las adquisiciones de bienes y servicios no consolidados por las diferentes unidades administrativas de la Secretaría de Desarrollo Agropecuario y llevar a cabo las adquisiciones de acuerdo con los montos establecidos en el Presupuesto de Egresos y normadas por la Ley de Contratación Pública del Estado de México y su Reglamento.</w:t>
      </w:r>
    </w:p>
    <w:p w:rsidR="00707B11" w:rsidRDefault="00707B11" w:rsidP="00707B11">
      <w:pPr>
        <w:ind w:left="851" w:right="902"/>
        <w:jc w:val="both"/>
        <w:rPr>
          <w:rFonts w:ascii="Palatino Linotype" w:hAnsi="Palatino Linotype" w:cs="Arial"/>
          <w:b/>
          <w:bCs/>
          <w:i/>
          <w:sz w:val="22"/>
        </w:rPr>
      </w:pPr>
    </w:p>
    <w:p w:rsidR="00707B11" w:rsidRPr="002902EC" w:rsidRDefault="00707B11" w:rsidP="00707B11">
      <w:pPr>
        <w:ind w:left="851" w:right="902"/>
        <w:jc w:val="both"/>
        <w:rPr>
          <w:rFonts w:ascii="Palatino Linotype" w:hAnsi="Palatino Linotype" w:cs="Arial"/>
          <w:b/>
          <w:bCs/>
          <w:i/>
          <w:sz w:val="22"/>
        </w:rPr>
      </w:pPr>
      <w:r w:rsidRPr="002902EC">
        <w:rPr>
          <w:rFonts w:ascii="Palatino Linotype" w:hAnsi="Palatino Linotype" w:cs="Arial"/>
          <w:b/>
          <w:bCs/>
          <w:i/>
          <w:sz w:val="22"/>
        </w:rPr>
        <w:t>FUNCIONES:</w:t>
      </w:r>
    </w:p>
    <w:p w:rsidR="00707B11" w:rsidRPr="002902EC" w:rsidRDefault="00707B11" w:rsidP="00707B11">
      <w:pPr>
        <w:ind w:left="851" w:right="902"/>
        <w:jc w:val="both"/>
        <w:rPr>
          <w:rFonts w:ascii="Palatino Linotype" w:hAnsi="Palatino Linotype" w:cs="Arial"/>
          <w:bCs/>
          <w:i/>
          <w:sz w:val="22"/>
        </w:rPr>
      </w:pPr>
      <w:r w:rsidRPr="002902EC">
        <w:rPr>
          <w:rFonts w:ascii="Palatino Linotype" w:hAnsi="Palatino Linotype" w:cs="Arial"/>
          <w:bCs/>
          <w:i/>
          <w:sz w:val="22"/>
        </w:rPr>
        <w:t>…</w:t>
      </w:r>
    </w:p>
    <w:p w:rsidR="00707B11" w:rsidRPr="002902EC" w:rsidRDefault="00707B11" w:rsidP="00707B11">
      <w:pPr>
        <w:ind w:left="851" w:right="902"/>
        <w:jc w:val="both"/>
        <w:rPr>
          <w:rFonts w:ascii="Palatino Linotype" w:hAnsi="Palatino Linotype" w:cs="Arial"/>
          <w:bCs/>
          <w:i/>
          <w:sz w:val="22"/>
        </w:rPr>
      </w:pPr>
      <w:r w:rsidRPr="002902EC">
        <w:rPr>
          <w:rFonts w:ascii="Palatino Linotype" w:hAnsi="Palatino Linotype" w:cs="Arial"/>
          <w:bCs/>
          <w:i/>
          <w:sz w:val="22"/>
        </w:rPr>
        <w:t xml:space="preserve">Gestionar ante las diferentes entidades del Gobierno Central lo referente a claves de verificación del área staff, así como dictámenes (equipo de cómputo, mobiliario, vehículos, equipo de comunicación, equipo cartográfico y topográfico e implementos agrícolas, entre otros), </w:t>
      </w:r>
      <w:r w:rsidRPr="002902EC">
        <w:rPr>
          <w:rFonts w:ascii="Palatino Linotype" w:hAnsi="Palatino Linotype" w:cs="Arial"/>
          <w:b/>
          <w:bCs/>
          <w:i/>
          <w:sz w:val="22"/>
        </w:rPr>
        <w:t>actualización del padrón de proveedores</w:t>
      </w:r>
      <w:r w:rsidRPr="002902EC">
        <w:rPr>
          <w:rFonts w:ascii="Palatino Linotype" w:hAnsi="Palatino Linotype" w:cs="Arial"/>
          <w:bCs/>
          <w:i/>
          <w:sz w:val="22"/>
        </w:rPr>
        <w:t xml:space="preserve"> y artículos y solicitar estudios de mercado necesarios para llevar a cabo el trámite adquisitivo de la Secretaría de Desarrollo Agropecuario.</w:t>
      </w:r>
    </w:p>
    <w:p w:rsidR="00707B11" w:rsidRDefault="00707B11" w:rsidP="00707B11">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Es decir, existe fuente obligacional que constriñe tanto a la Secretaría de Finanzas como al Departamento de Adquisiciones del </w:t>
      </w:r>
      <w:r>
        <w:rPr>
          <w:rFonts w:ascii="Palatino Linotype" w:hAnsi="Palatino Linotype" w:cs="Arial"/>
          <w:b/>
        </w:rPr>
        <w:t xml:space="preserve">SUJETO OBLIGADO </w:t>
      </w:r>
      <w:r>
        <w:rPr>
          <w:rFonts w:ascii="Palatino Linotype" w:hAnsi="Palatino Linotype" w:cs="Arial"/>
        </w:rPr>
        <w:t xml:space="preserve">a contar con la información solicitada, por lo que en ese sentido, a criterio de la suscrita el que la Ponencia Resolutora determinara entregar lo requerido por la particular, es con la finalidad de darle certeza jurídica respecto a las atribuciones que tiene conferidas; </w:t>
      </w:r>
      <w:r>
        <w:rPr>
          <w:rFonts w:ascii="Palatino Linotype" w:hAnsi="Palatino Linotype"/>
          <w:color w:val="000000"/>
        </w:rPr>
        <w:lastRenderedPageBreak/>
        <w:t>razón por la que</w:t>
      </w:r>
      <w:r>
        <w:rPr>
          <w:rFonts w:ascii="Palatino Linotype" w:hAnsi="Palatino Linotype" w:cs="Arial"/>
        </w:rPr>
        <w:t xml:space="preserve">, la suscrita emite </w:t>
      </w:r>
      <w:r>
        <w:rPr>
          <w:rFonts w:ascii="Palatino Linotype" w:hAnsi="Palatino Linotype" w:cs="Arial"/>
          <w:b/>
        </w:rPr>
        <w:t>OPINIÓN PARTICULAR</w:t>
      </w:r>
      <w:r>
        <w:rPr>
          <w:rFonts w:ascii="Palatino Linotype" w:hAnsi="Palatino Linotype" w:cs="Arial"/>
        </w:rPr>
        <w:t xml:space="preserve"> pues lo procedente en consecuencia era que de conformidad con el artículo 9 de la Ley de la materia </w:t>
      </w:r>
      <w:r>
        <w:rPr>
          <w:rFonts w:ascii="Palatino Linotype" w:hAnsi="Palatino Linotype" w:cs="Arial"/>
          <w:b/>
        </w:rPr>
        <w:t xml:space="preserve">EL SUJETO OBLIGADO </w:t>
      </w:r>
      <w:r>
        <w:rPr>
          <w:rFonts w:ascii="Palatino Linotype" w:hAnsi="Palatino Linotype" w:cs="Arial"/>
        </w:rPr>
        <w:t>atendiera la solicitud de información en los términos en que fue planteada.</w:t>
      </w:r>
    </w:p>
    <w:p w:rsidR="00707B11" w:rsidRDefault="00707B11" w:rsidP="00707B11">
      <w:pPr>
        <w:spacing w:before="100" w:beforeAutospacing="1" w:after="100" w:afterAutospacing="1" w:line="360" w:lineRule="auto"/>
        <w:jc w:val="both"/>
        <w:rPr>
          <w:rFonts w:ascii="Palatino Linotype" w:hAnsi="Palatino Linotype" w:cs="Arial"/>
        </w:rPr>
      </w:pPr>
    </w:p>
    <w:p w:rsidR="00707B11" w:rsidRDefault="00707B11" w:rsidP="00707B11">
      <w:pPr>
        <w:spacing w:before="100" w:beforeAutospacing="1" w:after="100" w:afterAutospacing="1" w:line="360" w:lineRule="auto"/>
        <w:jc w:val="both"/>
        <w:rPr>
          <w:rFonts w:ascii="Palatino Linotype" w:hAnsi="Palatino Linotype" w:cs="Arial"/>
        </w:rPr>
      </w:pPr>
    </w:p>
    <w:p w:rsidR="00707B11" w:rsidRDefault="00707B11" w:rsidP="00707B11">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707B11" w:rsidRPr="001950C9" w:rsidTr="00912C2A">
        <w:trPr>
          <w:jc w:val="center"/>
        </w:trPr>
        <w:tc>
          <w:tcPr>
            <w:tcW w:w="4393" w:type="dxa"/>
          </w:tcPr>
          <w:p w:rsidR="0035651A" w:rsidRDefault="0035651A" w:rsidP="00912C2A">
            <w:pPr>
              <w:jc w:val="center"/>
              <w:rPr>
                <w:rFonts w:ascii="Palatino Linotype" w:hAnsi="Palatino Linotype"/>
                <w:b/>
              </w:rPr>
            </w:pPr>
          </w:p>
          <w:p w:rsidR="0035651A" w:rsidRDefault="0035651A" w:rsidP="00912C2A">
            <w:pPr>
              <w:jc w:val="center"/>
              <w:rPr>
                <w:rFonts w:ascii="Palatino Linotype" w:hAnsi="Palatino Linotype"/>
                <w:b/>
              </w:rPr>
            </w:pPr>
          </w:p>
          <w:p w:rsidR="0035651A" w:rsidRDefault="0035651A" w:rsidP="00912C2A">
            <w:pPr>
              <w:jc w:val="center"/>
              <w:rPr>
                <w:rFonts w:ascii="Palatino Linotype" w:hAnsi="Palatino Linotype"/>
                <w:b/>
              </w:rPr>
            </w:pPr>
          </w:p>
          <w:p w:rsidR="0035651A" w:rsidRDefault="0035651A" w:rsidP="00912C2A">
            <w:pPr>
              <w:jc w:val="center"/>
              <w:rPr>
                <w:rFonts w:ascii="Palatino Linotype" w:hAnsi="Palatino Linotype"/>
                <w:b/>
              </w:rPr>
            </w:pPr>
          </w:p>
          <w:p w:rsidR="0035651A" w:rsidRDefault="0035651A" w:rsidP="00912C2A">
            <w:pPr>
              <w:jc w:val="center"/>
              <w:rPr>
                <w:rFonts w:ascii="Palatino Linotype" w:hAnsi="Palatino Linotype"/>
                <w:b/>
              </w:rPr>
            </w:pPr>
          </w:p>
          <w:p w:rsidR="0035651A" w:rsidRDefault="0035651A" w:rsidP="00912C2A">
            <w:pPr>
              <w:jc w:val="center"/>
              <w:rPr>
                <w:rFonts w:ascii="Palatino Linotype" w:hAnsi="Palatino Linotype"/>
                <w:b/>
              </w:rPr>
            </w:pPr>
          </w:p>
          <w:p w:rsidR="00707B11" w:rsidRPr="001950C9" w:rsidRDefault="00707B11" w:rsidP="00912C2A">
            <w:pPr>
              <w:jc w:val="center"/>
              <w:rPr>
                <w:rFonts w:ascii="Palatino Linotype" w:hAnsi="Palatino Linotype"/>
                <w:b/>
              </w:rPr>
            </w:pPr>
            <w:r w:rsidRPr="001950C9">
              <w:rPr>
                <w:rFonts w:ascii="Palatino Linotype" w:hAnsi="Palatino Linotype"/>
                <w:b/>
              </w:rPr>
              <w:t>EVA ABAID YAPUR</w:t>
            </w:r>
          </w:p>
          <w:p w:rsidR="00707B11" w:rsidRDefault="00707B11" w:rsidP="0035651A">
            <w:pPr>
              <w:jc w:val="center"/>
              <w:rPr>
                <w:rFonts w:ascii="Palatino Linotype" w:hAnsi="Palatino Linotype"/>
                <w:b/>
              </w:rPr>
            </w:pPr>
            <w:r w:rsidRPr="001950C9">
              <w:rPr>
                <w:rFonts w:ascii="Palatino Linotype" w:hAnsi="Palatino Linotype"/>
                <w:b/>
              </w:rPr>
              <w:t>COMISIONADA</w:t>
            </w:r>
          </w:p>
          <w:p w:rsidR="00F15F38" w:rsidRDefault="00F15F38" w:rsidP="00F15F38">
            <w:pPr>
              <w:jc w:val="center"/>
              <w:rPr>
                <w:rFonts w:ascii="Palatino Linotype" w:hAnsi="Palatino Linotype" w:cs="Arial"/>
                <w:b/>
              </w:rPr>
            </w:pPr>
            <w:r>
              <w:rPr>
                <w:rFonts w:ascii="Palatino Linotype" w:hAnsi="Palatino Linotype" w:cs="Arial"/>
                <w:b/>
              </w:rPr>
              <w:t>(RÚBRICA)</w:t>
            </w:r>
          </w:p>
          <w:p w:rsidR="00F15F38" w:rsidRPr="001950C9" w:rsidRDefault="00F15F38" w:rsidP="0035651A">
            <w:pPr>
              <w:jc w:val="center"/>
              <w:rPr>
                <w:rFonts w:ascii="Palatino Linotype" w:hAnsi="Palatino Linotype"/>
                <w:b/>
              </w:rPr>
            </w:pPr>
            <w:bookmarkStart w:id="0" w:name="_GoBack"/>
            <w:bookmarkEnd w:id="0"/>
          </w:p>
        </w:tc>
      </w:tr>
    </w:tbl>
    <w:p w:rsidR="00707B11" w:rsidRDefault="00707B11" w:rsidP="00707B11">
      <w:pPr>
        <w:jc w:val="both"/>
        <w:rPr>
          <w:rFonts w:ascii="Palatino Linotype" w:eastAsia="Calibri" w:hAnsi="Palatino Linotype" w:cs="Arial"/>
          <w:color w:val="000000" w:themeColor="text1"/>
          <w:sz w:val="20"/>
          <w:szCs w:val="20"/>
        </w:rPr>
      </w:pPr>
    </w:p>
    <w:p w:rsidR="00707B11" w:rsidRDefault="00707B11" w:rsidP="00707B11">
      <w:pPr>
        <w:jc w:val="both"/>
        <w:rPr>
          <w:rFonts w:ascii="Palatino Linotype" w:eastAsia="Calibri" w:hAnsi="Palatino Linotype" w:cs="Arial"/>
          <w:color w:val="000000" w:themeColor="text1"/>
          <w:sz w:val="20"/>
          <w:szCs w:val="20"/>
        </w:rPr>
      </w:pPr>
    </w:p>
    <w:p w:rsidR="00707B11" w:rsidRDefault="00707B11" w:rsidP="00707B11">
      <w:pPr>
        <w:jc w:val="both"/>
        <w:rPr>
          <w:rFonts w:ascii="Palatino Linotype" w:eastAsia="Calibri" w:hAnsi="Palatino Linotype" w:cs="Arial"/>
          <w:color w:val="000000" w:themeColor="text1"/>
          <w:sz w:val="20"/>
          <w:szCs w:val="20"/>
        </w:rPr>
      </w:pPr>
    </w:p>
    <w:p w:rsidR="00707B11" w:rsidRDefault="00707B11" w:rsidP="00707B11">
      <w:pPr>
        <w:jc w:val="both"/>
        <w:rPr>
          <w:rFonts w:ascii="Palatino Linotype" w:eastAsia="Calibri" w:hAnsi="Palatino Linotype" w:cs="Arial"/>
          <w:color w:val="000000" w:themeColor="text1"/>
          <w:sz w:val="20"/>
          <w:szCs w:val="20"/>
        </w:rPr>
      </w:pPr>
    </w:p>
    <w:p w:rsidR="00707B11" w:rsidRDefault="00707B11" w:rsidP="00707B11">
      <w:pPr>
        <w:jc w:val="both"/>
        <w:rPr>
          <w:rFonts w:ascii="Palatino Linotype" w:eastAsia="Calibri" w:hAnsi="Palatino Linotype" w:cs="Arial"/>
          <w:color w:val="000000" w:themeColor="text1"/>
          <w:sz w:val="20"/>
          <w:szCs w:val="20"/>
        </w:rPr>
      </w:pPr>
    </w:p>
    <w:p w:rsidR="00707B11" w:rsidRDefault="00707B11" w:rsidP="00707B11">
      <w:pPr>
        <w:jc w:val="both"/>
        <w:rPr>
          <w:rFonts w:ascii="Palatino Linotype" w:eastAsia="Calibri" w:hAnsi="Palatino Linotype" w:cs="Arial"/>
          <w:color w:val="000000" w:themeColor="text1"/>
          <w:sz w:val="20"/>
          <w:szCs w:val="20"/>
        </w:rPr>
      </w:pPr>
    </w:p>
    <w:p w:rsidR="00707B11" w:rsidRDefault="00707B11" w:rsidP="00707B11">
      <w:pPr>
        <w:jc w:val="both"/>
        <w:rPr>
          <w:rFonts w:ascii="Palatino Linotype" w:eastAsia="Calibri" w:hAnsi="Palatino Linotype" w:cs="Arial"/>
          <w:color w:val="000000" w:themeColor="text1"/>
          <w:sz w:val="20"/>
          <w:szCs w:val="20"/>
        </w:rPr>
      </w:pPr>
    </w:p>
    <w:p w:rsidR="00707B11" w:rsidRDefault="00707B11" w:rsidP="00707B11">
      <w:pPr>
        <w:jc w:val="both"/>
        <w:rPr>
          <w:rFonts w:ascii="Palatino Linotype" w:eastAsia="Calibri" w:hAnsi="Palatino Linotype" w:cs="Arial"/>
          <w:color w:val="000000" w:themeColor="text1"/>
          <w:sz w:val="20"/>
          <w:szCs w:val="20"/>
        </w:rPr>
      </w:pPr>
    </w:p>
    <w:p w:rsidR="00707B11" w:rsidRDefault="00707B11" w:rsidP="00707B11">
      <w:pPr>
        <w:jc w:val="both"/>
        <w:rPr>
          <w:rFonts w:ascii="Palatino Linotype" w:eastAsia="Calibri" w:hAnsi="Palatino Linotype" w:cs="Arial"/>
          <w:color w:val="000000" w:themeColor="text1"/>
          <w:sz w:val="20"/>
          <w:szCs w:val="20"/>
        </w:rPr>
      </w:pPr>
    </w:p>
    <w:p w:rsidR="00707B11" w:rsidRDefault="00707B11" w:rsidP="00707B11">
      <w:pPr>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Esta hoja corresponde a la opinión</w:t>
      </w:r>
      <w:r w:rsidRPr="001950C9">
        <w:rPr>
          <w:rFonts w:ascii="Palatino Linotype" w:eastAsia="Calibri" w:hAnsi="Palatino Linotype" w:cs="Arial"/>
          <w:color w:val="000000" w:themeColor="text1"/>
          <w:sz w:val="20"/>
          <w:szCs w:val="20"/>
        </w:rPr>
        <w:t xml:space="preserve"> particular emitid</w:t>
      </w:r>
      <w:r>
        <w:rPr>
          <w:rFonts w:ascii="Palatino Linotype" w:eastAsia="Calibri" w:hAnsi="Palatino Linotype" w:cs="Arial"/>
          <w:color w:val="000000" w:themeColor="text1"/>
          <w:sz w:val="20"/>
          <w:szCs w:val="20"/>
        </w:rPr>
        <w:t>a</w:t>
      </w:r>
      <w:r w:rsidRPr="001950C9">
        <w:rPr>
          <w:rFonts w:ascii="Palatino Linotype" w:eastAsia="Calibri" w:hAnsi="Palatino Linotype" w:cs="Arial"/>
          <w:color w:val="000000" w:themeColor="text1"/>
          <w:sz w:val="20"/>
          <w:szCs w:val="20"/>
        </w:rPr>
        <w:t xml:space="preserve"> en </w:t>
      </w:r>
      <w:r>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Pr>
          <w:rFonts w:ascii="Palatino Linotype" w:eastAsia="Calibri" w:hAnsi="Palatino Linotype" w:cs="Arial"/>
          <w:color w:val="000000" w:themeColor="text1"/>
          <w:sz w:val="20"/>
          <w:szCs w:val="20"/>
        </w:rPr>
        <w:t>3406</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8, aprobada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diecisiete de octubre de dos mil dieciocho</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35651A" w:rsidRPr="0035651A" w:rsidRDefault="0035651A" w:rsidP="00707B11">
      <w:pPr>
        <w:jc w:val="both"/>
        <w:rPr>
          <w:rFonts w:ascii="Palatino Linotype" w:eastAsia="Calibri" w:hAnsi="Palatino Linotype" w:cs="Arial"/>
          <w:color w:val="000000" w:themeColor="text1"/>
          <w:sz w:val="8"/>
          <w:szCs w:val="8"/>
        </w:rPr>
      </w:pPr>
    </w:p>
    <w:p w:rsidR="00707B11" w:rsidRDefault="00707B11" w:rsidP="00707B11">
      <w:pPr>
        <w:jc w:val="both"/>
      </w:pPr>
      <w:r w:rsidRPr="00C60EC0">
        <w:rPr>
          <w:rFonts w:ascii="Palatino Linotype" w:eastAsia="Calibri" w:hAnsi="Palatino Linotype" w:cs="Arial"/>
          <w:color w:val="000000" w:themeColor="text1"/>
          <w:sz w:val="18"/>
          <w:szCs w:val="18"/>
        </w:rPr>
        <w:t>YSM/A</w:t>
      </w:r>
      <w:r>
        <w:rPr>
          <w:rFonts w:ascii="Palatino Linotype" w:eastAsia="Calibri" w:hAnsi="Palatino Linotype" w:cs="Arial"/>
          <w:color w:val="000000" w:themeColor="text1"/>
          <w:sz w:val="18"/>
          <w:szCs w:val="18"/>
        </w:rPr>
        <w:t>MV</w:t>
      </w:r>
    </w:p>
    <w:p w:rsidR="00707B11" w:rsidRDefault="00707B11"/>
    <w:sectPr w:rsidR="00707B11" w:rsidSect="00017A8B">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995" w:rsidRDefault="00437995">
      <w:r>
        <w:separator/>
      </w:r>
    </w:p>
  </w:endnote>
  <w:endnote w:type="continuationSeparator" w:id="0">
    <w:p w:rsidR="00437995" w:rsidRDefault="0043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F15F38" w:rsidP="00DC5C4E">
    <w:pPr>
      <w:pStyle w:val="Piedepgina"/>
      <w:tabs>
        <w:tab w:val="clear" w:pos="4252"/>
        <w:tab w:val="left" w:pos="4228"/>
      </w:tabs>
      <w:rPr>
        <w:rFonts w:ascii="Palatino Linotype" w:hAnsi="Palatino Linotype" w:cs="Arial"/>
        <w:b/>
        <w:bCs/>
        <w:sz w:val="20"/>
        <w:szCs w:val="20"/>
      </w:rPr>
    </w:pPr>
  </w:p>
  <w:p w:rsidR="00D7260E" w:rsidRDefault="00F15F38" w:rsidP="00DC5C4E">
    <w:pPr>
      <w:pStyle w:val="Piedepgina"/>
      <w:tabs>
        <w:tab w:val="clear" w:pos="4252"/>
        <w:tab w:val="left" w:pos="4228"/>
      </w:tabs>
      <w:rPr>
        <w:rFonts w:ascii="Palatino Linotype" w:hAnsi="Palatino Linotype" w:cs="Arial"/>
        <w:b/>
        <w:bCs/>
        <w:sz w:val="20"/>
        <w:szCs w:val="20"/>
      </w:rPr>
    </w:pPr>
  </w:p>
  <w:p w:rsidR="005C7C8F" w:rsidRDefault="00F15F38" w:rsidP="00DC5C4E">
    <w:pPr>
      <w:pStyle w:val="Piedepgina"/>
      <w:tabs>
        <w:tab w:val="clear" w:pos="4252"/>
        <w:tab w:val="left" w:pos="4228"/>
      </w:tabs>
      <w:rPr>
        <w:rFonts w:ascii="Palatino Linotype" w:hAnsi="Palatino Linotype" w:cs="Arial"/>
        <w:b/>
        <w:bCs/>
        <w:sz w:val="20"/>
        <w:szCs w:val="20"/>
      </w:rPr>
    </w:pPr>
  </w:p>
  <w:p w:rsidR="005C7C8F" w:rsidRDefault="00F15F38" w:rsidP="00DC5C4E">
    <w:pPr>
      <w:pStyle w:val="Piedepgina"/>
      <w:tabs>
        <w:tab w:val="clear" w:pos="4252"/>
        <w:tab w:val="left" w:pos="4228"/>
      </w:tabs>
      <w:rPr>
        <w:rFonts w:ascii="Palatino Linotype" w:hAnsi="Palatino Linotype" w:cs="Arial"/>
        <w:b/>
        <w:bCs/>
        <w:sz w:val="20"/>
        <w:szCs w:val="20"/>
      </w:rPr>
    </w:pPr>
  </w:p>
  <w:p w:rsidR="005C7C8F" w:rsidRDefault="00F15F38" w:rsidP="00DC5C4E">
    <w:pPr>
      <w:pStyle w:val="Piedepgina"/>
      <w:rPr>
        <w:rFonts w:ascii="Palatino Linotype" w:hAnsi="Palatino Linotype" w:cs="Arial"/>
        <w:b/>
        <w:bCs/>
        <w:sz w:val="20"/>
        <w:szCs w:val="20"/>
      </w:rPr>
    </w:pPr>
  </w:p>
  <w:p w:rsidR="005C7C8F" w:rsidRPr="00F12350" w:rsidRDefault="00707B11"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15F38">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15F38">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5C7C8F" w:rsidRDefault="00F15F38"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995" w:rsidRDefault="00437995">
      <w:r>
        <w:separator/>
      </w:r>
    </w:p>
  </w:footnote>
  <w:footnote w:type="continuationSeparator" w:id="0">
    <w:p w:rsidR="00437995" w:rsidRDefault="00437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F15F3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829" w:rsidRDefault="00707B11"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185E5535" wp14:editId="75F7832E">
          <wp:simplePos x="0" y="0"/>
          <wp:positionH relativeFrom="column">
            <wp:posOffset>-695435</wp:posOffset>
          </wp:positionH>
          <wp:positionV relativeFrom="paragraph">
            <wp:posOffset>-449746</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F15F38" w:rsidP="00DC5C4E">
    <w:pPr>
      <w:pStyle w:val="Encabezado"/>
      <w:tabs>
        <w:tab w:val="clear" w:pos="4252"/>
        <w:tab w:val="clear" w:pos="8504"/>
        <w:tab w:val="left" w:pos="2326"/>
      </w:tabs>
      <w:jc w:val="right"/>
    </w:pPr>
  </w:p>
  <w:p w:rsidR="005C7C8F" w:rsidRDefault="00707B11" w:rsidP="00DC5C4E">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OPINIÓN</w:t>
    </w:r>
    <w:r w:rsidRPr="006F01F2">
      <w:rPr>
        <w:rFonts w:ascii="Palatino Linotype" w:hAnsi="Palatino Linotype" w:cs="Arial"/>
        <w:sz w:val="20"/>
        <w:szCs w:val="20"/>
      </w:rPr>
      <w:t xml:space="preserve"> PARTICULAR</w:t>
    </w:r>
  </w:p>
  <w:p w:rsidR="005C7C8F" w:rsidRDefault="00707B11"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03406/INFOEM/IP</w:t>
    </w:r>
    <w:r w:rsidRPr="00706042">
      <w:rPr>
        <w:rFonts w:ascii="Palatino Linotype" w:hAnsi="Palatino Linotype" w:cs="Arial"/>
        <w:sz w:val="20"/>
        <w:szCs w:val="20"/>
      </w:rPr>
      <w:t>/RR/201</w:t>
    </w:r>
    <w:r>
      <w:rPr>
        <w:rFonts w:ascii="Palatino Linotype" w:hAnsi="Palatino Linotype" w:cs="Arial"/>
        <w:sz w:val="20"/>
        <w:szCs w:val="20"/>
      </w:rPr>
      <w:t>8</w:t>
    </w:r>
  </w:p>
  <w:p w:rsidR="002E3829" w:rsidRDefault="00F15F38"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68.8pt;rotation:315;z-index:-251658240;mso-position-horizontal:center;mso-position-horizontal-relative:margin;mso-position-vertical:center;mso-position-vertical-relative:margin" o:allowincell="f" fillcolor="#bfbfbf [2412]" stroked="f">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F15F3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F5329"/>
    <w:multiLevelType w:val="hybridMultilevel"/>
    <w:tmpl w:val="1660DE78"/>
    <w:lvl w:ilvl="0" w:tplc="20A01E06">
      <w:start w:val="1"/>
      <w:numFmt w:val="decimal"/>
      <w:lvlText w:val="%1."/>
      <w:lvlJc w:val="left"/>
      <w:pPr>
        <w:ind w:left="644" w:hanging="360"/>
      </w:pPr>
      <w:rPr>
        <w:rFonts w:ascii="Palatino Linotype" w:eastAsia="Times New Roman" w:hAnsi="Palatino Linotype" w:cs="Arial"/>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B11"/>
    <w:rsid w:val="0035651A"/>
    <w:rsid w:val="00437995"/>
    <w:rsid w:val="00707B11"/>
    <w:rsid w:val="009F074E"/>
    <w:rsid w:val="00A7057F"/>
    <w:rsid w:val="00F15F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4720167-75BA-4054-A84F-B8D575F2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B1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7B1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07B11"/>
    <w:rPr>
      <w:rFonts w:eastAsiaTheme="minorEastAsia"/>
      <w:sz w:val="24"/>
      <w:szCs w:val="24"/>
      <w:lang w:val="es-ES_tradnl" w:eastAsia="es-ES"/>
    </w:rPr>
  </w:style>
  <w:style w:type="paragraph" w:styleId="Piedepgina">
    <w:name w:val="footer"/>
    <w:basedOn w:val="Normal"/>
    <w:link w:val="PiedepginaCar"/>
    <w:uiPriority w:val="99"/>
    <w:unhideWhenUsed/>
    <w:rsid w:val="00707B1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07B1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B1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07B1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1430</Words>
  <Characters>7869</Characters>
  <Application>Microsoft Office Word</Application>
  <DocSecurity>0</DocSecurity>
  <Lines>65</Lines>
  <Paragraphs>18</Paragraphs>
  <ScaleCrop>false</ScaleCrop>
  <Company/>
  <LinksUpToDate>false</LinksUpToDate>
  <CharactersWithSpaces>9281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2018-10-22T18:50:00Z</dcterms:created>
  <dcterms:modified xsi:type="dcterms:W3CDTF">2018-11-21T23:33:00Z</dcterms:modified>
</cp:coreProperties>
</file>